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4E386" w14:textId="77777777" w:rsidR="00D003A9" w:rsidRDefault="007E0643" w:rsidP="0038651C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000000" w:themeColor="text1"/>
          <w:kern w:val="0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上海交通大学</w:t>
      </w:r>
      <w:r w:rsidR="0038651C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海洋学院博士</w:t>
      </w:r>
      <w:r w:rsidR="00C912D6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招生名额分配方案</w:t>
      </w:r>
    </w:p>
    <w:p w14:paraId="5AB1B645" w14:textId="0408C3F1" w:rsidR="00F15715" w:rsidRPr="00D003A9" w:rsidRDefault="00C912D6" w:rsidP="00D003A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000000" w:themeColor="text1"/>
          <w:kern w:val="0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（</w:t>
      </w:r>
      <w:r w:rsidR="00BA529C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2</w:t>
      </w:r>
      <w:r w:rsidR="00BA529C">
        <w:rPr>
          <w:rFonts w:ascii="Arial" w:eastAsia="宋体" w:hAnsi="Arial" w:cs="Arial"/>
          <w:b/>
          <w:bCs/>
          <w:color w:val="000000" w:themeColor="text1"/>
          <w:kern w:val="0"/>
          <w:sz w:val="32"/>
          <w:szCs w:val="32"/>
        </w:rPr>
        <w:t>020.7</w:t>
      </w: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）</w:t>
      </w:r>
    </w:p>
    <w:p w14:paraId="29F1FBDB" w14:textId="4FE18E97" w:rsidR="005E0D2B" w:rsidRDefault="00C01C0D" w:rsidP="00644A36">
      <w:pPr>
        <w:spacing w:line="312" w:lineRule="auto"/>
        <w:ind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 w:rsidRPr="00C01C0D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为统筹规划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学院学科</w:t>
      </w:r>
      <w:r w:rsidR="006B1594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建设与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发展、师资</w:t>
      </w:r>
      <w:r w:rsidR="0095008C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队伍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引进</w:t>
      </w:r>
      <w:r w:rsidR="0095008C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与考评</w:t>
      </w:r>
      <w:r w:rsidR="00E303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人才培养</w:t>
      </w:r>
      <w:r w:rsidR="00B2548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体系与质量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，</w:t>
      </w:r>
      <w:r w:rsidR="002758D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现</w:t>
      </w:r>
      <w:r w:rsidR="00B2548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结合学院实际情况，</w:t>
      </w:r>
      <w:r w:rsidR="00A674B4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特制定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相配套的博士招生</w:t>
      </w:r>
      <w:r w:rsidR="008E761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名额</w:t>
      </w:r>
      <w:r w:rsidR="00907903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分配方案，</w:t>
      </w:r>
      <w:r w:rsidR="002758D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从</w:t>
      </w:r>
      <w:r w:rsidR="002758D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20</w:t>
      </w:r>
      <w:r w:rsidR="002758D8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2</w:t>
      </w:r>
      <w:r w:rsidR="00644A36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1</w:t>
      </w:r>
      <w:r w:rsidR="002758D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年开始实施。</w:t>
      </w:r>
    </w:p>
    <w:p w14:paraId="584933FE" w14:textId="253E399B" w:rsidR="00847A2F" w:rsidRDefault="00847A2F" w:rsidP="00644A36">
      <w:pPr>
        <w:spacing w:line="312" w:lineRule="auto"/>
        <w:ind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在</w:t>
      </w:r>
      <w:r w:rsidR="00507450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每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年</w:t>
      </w:r>
      <w:r w:rsidR="00644A3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6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月学位评定委员会</w:t>
      </w:r>
      <w:r w:rsidR="006437BD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审核下一年度博导招生资格的同时，</w:t>
      </w:r>
      <w:r w:rsidR="0063614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审定由学院招生小组和招生领导小组</w:t>
      </w:r>
      <w:r w:rsidR="00507450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制定的博士招生名额</w:t>
      </w:r>
      <w:r w:rsidR="0063614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预</w:t>
      </w:r>
      <w:r w:rsidR="00507450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分配方案</w:t>
      </w:r>
      <w:r w:rsidR="007002C4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，进行博士名额的</w:t>
      </w:r>
      <w:r w:rsidR="00B0134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预分配。</w:t>
      </w:r>
      <w:r w:rsidR="00507450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学院</w:t>
      </w:r>
      <w:r w:rsidR="006437BD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分配原则如下：</w:t>
      </w:r>
    </w:p>
    <w:p w14:paraId="27AA036B" w14:textId="49BDB0EF" w:rsidR="00B0134A" w:rsidRPr="00923BD4" w:rsidRDefault="00923BD4" w:rsidP="00644A36">
      <w:pPr>
        <w:spacing w:line="312" w:lineRule="auto"/>
        <w:ind w:firstLineChars="200"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1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.</w:t>
      </w:r>
      <w:r w:rsidR="00B0134A" w:rsidRPr="00923BD4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招生名额在具有博导资格的导师中进行</w:t>
      </w:r>
      <w:r w:rsidRPr="00923BD4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。如我院上报的博导资格在学校后续审核过程中未通过，学院将取消该教师招生名额。</w:t>
      </w:r>
    </w:p>
    <w:p w14:paraId="66134E49" w14:textId="34B23498" w:rsidR="00923BD4" w:rsidRDefault="00923BD4" w:rsidP="00644A36">
      <w:pPr>
        <w:spacing w:line="312" w:lineRule="auto"/>
        <w:ind w:firstLineChars="200"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 w:rsidRPr="000777D6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2.</w:t>
      </w:r>
      <w:r w:rsidR="00A645D8" w:rsidRPr="000777D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对于非首聘期博导，需有省部级以上</w:t>
      </w:r>
      <w:r w:rsidR="009D2903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纵向</w:t>
      </w:r>
      <w:r w:rsidR="00A645D8" w:rsidRPr="000777D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在研课题，且所有</w:t>
      </w:r>
      <w:r w:rsidR="00044D3E" w:rsidRPr="000777D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纵向和横向</w:t>
      </w:r>
      <w:r w:rsidR="00E07D8C" w:rsidRPr="000777D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项目个人在帐</w:t>
      </w:r>
      <w:r w:rsidR="00044D3E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人员</w:t>
      </w:r>
      <w:r w:rsidR="00E07D8C" w:rsidRPr="000777D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经费总额需达到</w:t>
      </w:r>
      <w:r w:rsidR="00644A36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2</w:t>
      </w:r>
      <w:r w:rsidR="00644A3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年博士培养费</w:t>
      </w:r>
      <w:r w:rsidR="00E07D8C" w:rsidRPr="000777D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以上，能够保障博士生科研的正常开展和助研津贴正常发放。</w:t>
      </w:r>
    </w:p>
    <w:p w14:paraId="75279EA8" w14:textId="7BA0145A" w:rsidR="000777D6" w:rsidRDefault="000777D6" w:rsidP="00644A36">
      <w:pPr>
        <w:spacing w:line="312" w:lineRule="auto"/>
        <w:ind w:firstLineChars="200"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3.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对于首聘期博导，</w:t>
      </w:r>
      <w:r w:rsidR="000E3173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需按时参加学校研究生导师岗位培训。新聘任导师两年内未获培训结业证书将暂停招收研究生资格</w:t>
      </w:r>
      <w:r w:rsidR="00523ED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。具备招生</w:t>
      </w:r>
      <w:r w:rsidR="00FE3E21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资格的首聘期博导，在入职首聘期内</w:t>
      </w:r>
      <w:r w:rsidR="00CC1E33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、</w:t>
      </w:r>
      <w:r w:rsidR="006A2DD1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具有博导资格的第二年，</w:t>
      </w:r>
      <w:r w:rsidR="007242F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优先</w:t>
      </w:r>
      <w:r w:rsidR="00FE3E21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获得招生名额，不受博导资格要求的在研课题和经费总额限制，但需按照</w:t>
      </w:r>
      <w:r w:rsidR="00044D3E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学校标准</w:t>
      </w:r>
      <w:r w:rsidR="00FE3E21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缴纳博士生助研津贴。</w:t>
      </w:r>
    </w:p>
    <w:p w14:paraId="5B26F1FA" w14:textId="577B6DEE" w:rsidR="00EC222B" w:rsidRDefault="00EC222B" w:rsidP="00644A36">
      <w:pPr>
        <w:spacing w:line="312" w:lineRule="auto"/>
        <w:ind w:firstLineChars="200"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4.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对于</w:t>
      </w:r>
      <w:r w:rsidR="00EC648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工作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聘期</w:t>
      </w:r>
      <w:r w:rsidR="00D2554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考核结果为“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基本合格</w:t>
      </w:r>
      <w:r w:rsidR="00D2554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”的博导，</w:t>
      </w:r>
      <w:r w:rsidR="00644A3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立即</w:t>
      </w:r>
      <w:r w:rsidR="00D2554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暂停博士招生</w:t>
      </w:r>
      <w:r w:rsidR="00644A36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一年</w:t>
      </w:r>
      <w:r w:rsidR="008C3EBD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</w:t>
      </w:r>
    </w:p>
    <w:p w14:paraId="2A50F3FC" w14:textId="1F638E2E" w:rsidR="00CB3513" w:rsidRDefault="00831F95" w:rsidP="00644A36">
      <w:pPr>
        <w:spacing w:line="312" w:lineRule="auto"/>
        <w:ind w:firstLineChars="200" w:firstLine="56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5.</w:t>
      </w:r>
      <w:r w:rsidR="00CB3513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在</w:t>
      </w:r>
      <w:r w:rsidR="009F7EFE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保证学院</w:t>
      </w:r>
      <w:r w:rsidR="00D176D5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符合要求的博导招生名额的前提下，如果博士名额尚有剩余，可开放给其他具有重大项目的博导申请第二个博士名额（需</w:t>
      </w:r>
      <w:r w:rsidR="009A2CA9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按照第二个</w:t>
      </w:r>
      <w:r w:rsidR="009A2CA9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RA</w:t>
      </w:r>
      <w:r w:rsidR="009A2CA9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指标要求缴纳博士生津贴</w:t>
      </w:r>
      <w:r w:rsidR="00D176D5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）</w:t>
      </w:r>
      <w:r w:rsidR="009A2CA9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。申请条件至少满足</w:t>
      </w:r>
      <w:r w:rsid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如</w:t>
      </w:r>
      <w:r w:rsidR="009A2CA9" w:rsidRP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下条件之一</w:t>
      </w:r>
      <w:r w:rsidR="009B305F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</w:t>
      </w:r>
    </w:p>
    <w:p w14:paraId="118A1011" w14:textId="1D460B74" w:rsidR="009B305F" w:rsidRDefault="009B305F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lastRenderedPageBreak/>
        <w:fldChar w:fldCharType="begin"/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instrText>= 1 \* GB2</w:instrTex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fldChar w:fldCharType="separate"/>
      </w:r>
      <w:r>
        <w:rPr>
          <w:rFonts w:ascii="Arial" w:eastAsia="宋体" w:hAnsi="Arial" w:cs="Arial" w:hint="eastAsia"/>
          <w:bCs/>
          <w:noProof/>
          <w:color w:val="000000" w:themeColor="text1"/>
          <w:kern w:val="0"/>
          <w:sz w:val="28"/>
          <w:szCs w:val="28"/>
        </w:rPr>
        <w:t>⑴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fldChar w:fldCharType="end"/>
      </w:r>
      <w:r w:rsidR="000D0B9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在研重大</w:t>
      </w:r>
      <w:r w:rsidR="009A5961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重点</w:t>
      </w:r>
      <w:r w:rsidR="000D0B9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项目</w:t>
      </w:r>
      <m:oMath>
        <m:r>
          <m:rPr>
            <m:sty m:val="p"/>
          </m:rPr>
          <w:rPr>
            <w:rFonts w:ascii="Cambria Math" w:eastAsia="宋体" w:hAnsi="Cambria Math" w:cs="Arial"/>
            <w:color w:val="000000" w:themeColor="text1"/>
            <w:kern w:val="0"/>
            <w:sz w:val="28"/>
            <w:szCs w:val="28"/>
          </w:rPr>
          <m:t>≥</m:t>
        </m:r>
      </m:oMath>
      <w:r w:rsidR="008A17DB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1</w:t>
      </w:r>
      <w:r w:rsidR="008A17DB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项</w:t>
      </w:r>
      <w:r w:rsidR="00034E4C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，其中重大重点项目</w:t>
      </w:r>
      <w:r w:rsidR="00BB644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指：</w:t>
      </w:r>
    </w:p>
    <w:p w14:paraId="1CDB406B" w14:textId="56F7E73F" w:rsidR="00034E4C" w:rsidRDefault="0098064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扣管经费在</w:t>
      </w:r>
      <w:r w:rsidR="00044D3E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500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万以上的省部级及以上级别的重大重点项目或课题</w:t>
      </w:r>
      <w:r w:rsidR="00BB644A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</w:t>
      </w:r>
    </w:p>
    <w:p w14:paraId="094EC524" w14:textId="00924BE5" w:rsidR="00FC527D" w:rsidRDefault="00FC527D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instrText>= 2 \* GB2</w:instrTex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fldChar w:fldCharType="separate"/>
      </w:r>
      <w:r>
        <w:rPr>
          <w:rFonts w:ascii="Arial" w:eastAsia="宋体" w:hAnsi="Arial" w:cs="Arial" w:hint="eastAsia"/>
          <w:bCs/>
          <w:noProof/>
          <w:color w:val="000000" w:themeColor="text1"/>
          <w:kern w:val="0"/>
          <w:sz w:val="28"/>
          <w:szCs w:val="28"/>
        </w:rPr>
        <w:t>⑵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fldChar w:fldCharType="end"/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新获得（最近一次）国家</w:t>
      </w:r>
      <w:r w:rsidR="00044D3E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级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重要人才计划类项目（扣管经费</w:t>
      </w:r>
      <w:r w:rsidR="00044D3E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10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0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万以上）。</w:t>
      </w:r>
    </w:p>
    <w:p w14:paraId="569DBCEB" w14:textId="1C61B9A1" w:rsidR="00BB644A" w:rsidRDefault="004B562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6</w:t>
      </w:r>
      <w:r w:rsidR="00BB644A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.</w:t>
      </w:r>
      <w:r w:rsidR="008A3BC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学校如有额外奖励的招生名额，学院直接划拨给导师，但需按照第二个</w:t>
      </w:r>
      <w:r w:rsidR="008A3BC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RA</w:t>
      </w:r>
      <w:r w:rsidR="008A3BC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指标缴纳博士生津贴。</w:t>
      </w:r>
    </w:p>
    <w:p w14:paraId="51A6FB39" w14:textId="611FB0FF" w:rsidR="008A3BC8" w:rsidRDefault="004B562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7</w:t>
      </w:r>
      <w:r w:rsidR="008A3BC8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.</w:t>
      </w:r>
      <w:r w:rsidR="000614F4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获得博士招生名额的导师在</w:t>
      </w:r>
      <w:r w:rsidR="00B8274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6</w:t>
      </w:r>
      <w:r w:rsidR="00B8274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月</w:t>
      </w:r>
      <w:r w:rsidR="00B8274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3</w:t>
      </w:r>
      <w:r w:rsidR="00644A36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0</w:t>
      </w:r>
      <w:r w:rsidR="00B8274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日前必修缴纳第二年博士新生及在读生</w:t>
      </w:r>
      <w:r w:rsidR="00B8274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RA</w:t>
      </w:r>
      <w:r w:rsidR="00B82748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助研津贴</w:t>
      </w:r>
      <w:r w:rsidR="006A2E6C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。如没有按期缴纳，取消第二年博士招生名额。</w:t>
      </w:r>
    </w:p>
    <w:p w14:paraId="0F4C47A2" w14:textId="7513FD20" w:rsidR="00CC1E33" w:rsidRDefault="00D003A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 w:rsidRPr="00D003A9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8</w:t>
      </w:r>
      <w:r w:rsidRPr="00D003A9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.</w:t>
      </w:r>
      <w:r w:rsidRPr="00D003A9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浪费博士名额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的</w:t>
      </w:r>
      <w:r w:rsidRPr="00D003A9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导师取消其第二年博士的招生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。</w:t>
      </w:r>
    </w:p>
    <w:p w14:paraId="1AE2A9BE" w14:textId="51ABEE78" w:rsidR="00D003A9" w:rsidRDefault="00D003A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9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.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特别优秀生源特殊讨论。</w:t>
      </w:r>
    </w:p>
    <w:p w14:paraId="4BE851F3" w14:textId="2A9CC7BF" w:rsidR="00D003A9" w:rsidRDefault="00D003A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</w:p>
    <w:p w14:paraId="5BA7B683" w14:textId="77777777" w:rsidR="00D003A9" w:rsidRPr="00D003A9" w:rsidRDefault="00D003A9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</w:p>
    <w:p w14:paraId="1415432C" w14:textId="254D2489" w:rsidR="00831F95" w:rsidRPr="00831F95" w:rsidRDefault="00831F95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 w:rsidRPr="00831F9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831F95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 xml:space="preserve">                                       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 xml:space="preserve">  </w:t>
      </w:r>
      <w:r w:rsidRPr="00831F9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海洋学院</w:t>
      </w:r>
    </w:p>
    <w:p w14:paraId="64CC4E45" w14:textId="5D5CBE6C" w:rsidR="00831F95" w:rsidRPr="00831F95" w:rsidRDefault="00831F95" w:rsidP="00644A36">
      <w:pPr>
        <w:spacing w:line="312" w:lineRule="auto"/>
        <w:ind w:firstLineChars="250" w:firstLine="700"/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</w:pPr>
      <w:r w:rsidRPr="00831F95"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831F95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 xml:space="preserve">                                      </w:t>
      </w:r>
      <w:r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 xml:space="preserve">  </w:t>
      </w:r>
      <w:r w:rsidRPr="00831F95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2020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年</w:t>
      </w:r>
      <w:r w:rsidR="00D003A9">
        <w:rPr>
          <w:rFonts w:ascii="Arial" w:eastAsia="宋体" w:hAnsi="Arial" w:cs="Arial"/>
          <w:bCs/>
          <w:color w:val="000000" w:themeColor="text1"/>
          <w:kern w:val="0"/>
          <w:sz w:val="28"/>
          <w:szCs w:val="28"/>
        </w:rPr>
        <w:t>7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8"/>
          <w:szCs w:val="28"/>
        </w:rPr>
        <w:t>月</w:t>
      </w:r>
    </w:p>
    <w:sectPr w:rsidR="00831F95" w:rsidRPr="00831F95" w:rsidSect="00DC0C8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147A5"/>
    <w:multiLevelType w:val="hybridMultilevel"/>
    <w:tmpl w:val="00BED44A"/>
    <w:lvl w:ilvl="0" w:tplc="5E2AE3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9A914C6"/>
    <w:multiLevelType w:val="hybridMultilevel"/>
    <w:tmpl w:val="54DE2202"/>
    <w:lvl w:ilvl="0" w:tplc="05E45AF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53FC2E67"/>
    <w:multiLevelType w:val="hybridMultilevel"/>
    <w:tmpl w:val="D0B8A8F0"/>
    <w:lvl w:ilvl="0" w:tplc="F042940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7B2211CB"/>
    <w:multiLevelType w:val="hybridMultilevel"/>
    <w:tmpl w:val="C4D0E3FA"/>
    <w:lvl w:ilvl="0" w:tplc="C70CB0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C"/>
    <w:rsid w:val="00006EDC"/>
    <w:rsid w:val="000320AE"/>
    <w:rsid w:val="00034E4C"/>
    <w:rsid w:val="00044D3E"/>
    <w:rsid w:val="000614F4"/>
    <w:rsid w:val="000777D6"/>
    <w:rsid w:val="000C240D"/>
    <w:rsid w:val="000D0B95"/>
    <w:rsid w:val="000E3173"/>
    <w:rsid w:val="000F1054"/>
    <w:rsid w:val="00107531"/>
    <w:rsid w:val="00174FC5"/>
    <w:rsid w:val="001E5230"/>
    <w:rsid w:val="002758D8"/>
    <w:rsid w:val="002B03B7"/>
    <w:rsid w:val="002D125F"/>
    <w:rsid w:val="0038651C"/>
    <w:rsid w:val="003946B6"/>
    <w:rsid w:val="003D12CF"/>
    <w:rsid w:val="00404284"/>
    <w:rsid w:val="00422067"/>
    <w:rsid w:val="004B5629"/>
    <w:rsid w:val="004C1AD8"/>
    <w:rsid w:val="004C3C3B"/>
    <w:rsid w:val="00507450"/>
    <w:rsid w:val="00514778"/>
    <w:rsid w:val="00523ED5"/>
    <w:rsid w:val="00592ADA"/>
    <w:rsid w:val="005E0D2B"/>
    <w:rsid w:val="0063614A"/>
    <w:rsid w:val="006437BD"/>
    <w:rsid w:val="00644A36"/>
    <w:rsid w:val="00656631"/>
    <w:rsid w:val="00684B40"/>
    <w:rsid w:val="006A2DD1"/>
    <w:rsid w:val="006A2E6C"/>
    <w:rsid w:val="006A36D9"/>
    <w:rsid w:val="006A5FCF"/>
    <w:rsid w:val="006B1594"/>
    <w:rsid w:val="006B7F18"/>
    <w:rsid w:val="006E2B27"/>
    <w:rsid w:val="007002C4"/>
    <w:rsid w:val="007242F6"/>
    <w:rsid w:val="007E0643"/>
    <w:rsid w:val="007E29DA"/>
    <w:rsid w:val="00831F95"/>
    <w:rsid w:val="00847A2F"/>
    <w:rsid w:val="0089444C"/>
    <w:rsid w:val="008A17DB"/>
    <w:rsid w:val="008A3BC8"/>
    <w:rsid w:val="008C3EBD"/>
    <w:rsid w:val="008E761A"/>
    <w:rsid w:val="008F5110"/>
    <w:rsid w:val="00907903"/>
    <w:rsid w:val="00923BD4"/>
    <w:rsid w:val="0095008C"/>
    <w:rsid w:val="00972844"/>
    <w:rsid w:val="00980649"/>
    <w:rsid w:val="009A2CA9"/>
    <w:rsid w:val="009A5961"/>
    <w:rsid w:val="009B305F"/>
    <w:rsid w:val="009D2903"/>
    <w:rsid w:val="009F7EFE"/>
    <w:rsid w:val="00A36BD2"/>
    <w:rsid w:val="00A645D8"/>
    <w:rsid w:val="00A674B4"/>
    <w:rsid w:val="00A77403"/>
    <w:rsid w:val="00AB07F0"/>
    <w:rsid w:val="00AD7BE2"/>
    <w:rsid w:val="00B0134A"/>
    <w:rsid w:val="00B140D4"/>
    <w:rsid w:val="00B2548A"/>
    <w:rsid w:val="00B40AF7"/>
    <w:rsid w:val="00B762A4"/>
    <w:rsid w:val="00B82748"/>
    <w:rsid w:val="00BA529C"/>
    <w:rsid w:val="00BB644A"/>
    <w:rsid w:val="00C01C0D"/>
    <w:rsid w:val="00C65779"/>
    <w:rsid w:val="00C912D6"/>
    <w:rsid w:val="00CA5486"/>
    <w:rsid w:val="00CB3513"/>
    <w:rsid w:val="00CB7187"/>
    <w:rsid w:val="00CC1E33"/>
    <w:rsid w:val="00CD29E6"/>
    <w:rsid w:val="00D003A9"/>
    <w:rsid w:val="00D176D5"/>
    <w:rsid w:val="00D25545"/>
    <w:rsid w:val="00D94379"/>
    <w:rsid w:val="00DA19DD"/>
    <w:rsid w:val="00DC0C88"/>
    <w:rsid w:val="00E07D8C"/>
    <w:rsid w:val="00E3035F"/>
    <w:rsid w:val="00E95C4A"/>
    <w:rsid w:val="00EC222B"/>
    <w:rsid w:val="00EC6488"/>
    <w:rsid w:val="00F27E91"/>
    <w:rsid w:val="00FC527D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0833"/>
  <w14:defaultImageDpi w14:val="32767"/>
  <w15:chartTrackingRefBased/>
  <w15:docId w15:val="{8DCE9346-1486-584C-87C4-D8E1F9A5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651C"/>
    <w:rPr>
      <w:b/>
      <w:bCs/>
    </w:rPr>
  </w:style>
  <w:style w:type="character" w:customStyle="1" w:styleId="apple-converted-space">
    <w:name w:val="apple-converted-space"/>
    <w:basedOn w:val="a0"/>
    <w:rsid w:val="0038651C"/>
  </w:style>
  <w:style w:type="character" w:styleId="a4">
    <w:name w:val="Hyperlink"/>
    <w:basedOn w:val="a0"/>
    <w:uiPriority w:val="99"/>
    <w:semiHidden/>
    <w:unhideWhenUsed/>
    <w:rsid w:val="003865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6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6">
    <w:name w:val="List Paragraph"/>
    <w:basedOn w:val="a"/>
    <w:uiPriority w:val="34"/>
    <w:qFormat/>
    <w:rsid w:val="007E0643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9A596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C1AD8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1AD8"/>
    <w:rPr>
      <w:rFonts w:ascii="宋体" w:eastAsia="宋体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44D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4D3E"/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044D3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4D3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44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冰天雪地 冰冰</dc:creator>
  <cp:keywords/>
  <dc:description/>
  <cp:lastModifiedBy>冰天雪地 冰冰</cp:lastModifiedBy>
  <cp:revision>5</cp:revision>
  <dcterms:created xsi:type="dcterms:W3CDTF">2020-07-02T02:19:00Z</dcterms:created>
  <dcterms:modified xsi:type="dcterms:W3CDTF">2020-11-07T06:32:00Z</dcterms:modified>
</cp:coreProperties>
</file>